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112.png" ContentType="image/png"/>
  <Override PartName="/word/media/rId21.png" ContentType="image/png"/>
  <Override PartName="/word/media/rId40.png" ContentType="image/png"/>
  <Override PartName="/word/media/rId76.png" ContentType="image/png"/>
  <Override PartName="/word/media/rId81.png" ContentType="image/png"/>
  <Override PartName="/word/media/rId71.png" ContentType="image/png"/>
  <Override PartName="/word/media/rId66.png" ContentType="image/png"/>
  <Override PartName="/word/media/rId87.png" ContentType="image/png"/>
  <Override PartName="/word/media/rId117.png" ContentType="image/png"/>
  <Override PartName="/word/media/rId27.png" ContentType="image/png"/>
  <Override PartName="/word/media/rId99.png" ContentType="image/png"/>
  <Override PartName="/word/media/rId45.png" ContentType="image/png"/>
  <Override PartName="/word/media/rId32.png" ContentType="image/png"/>
  <Override PartName="/word/media/rId105.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2024-09-27</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(Unsworth et al., 2022 ; Sousa et al., 2019)</w:t>
      </w:r>
      <w:r>
        <w:t xml:space="preserve">.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 ; Rasheed and Unsworth, 2011 ; Chefaoui et al., 2018 ;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 Zoffoli et al., 2021 ; Sousa et al., 2019)</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Cs/>
          <w:i/>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Cs/>
          <w:i/>
        </w:rPr>
        <w:t xml:space="preserve">in situ</w:t>
      </w:r>
      <w:r>
        <w:t xml:space="preserve"> </w:t>
      </w:r>
      <w:r>
        <w:t xml:space="preserve">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(Ralph et al., 2002 ; Douay et al., 2022)</w:t>
      </w:r>
      <w:r>
        <w:t xml:space="preserve">. Therefore, to someone not specialized in the field, their spectral signatures may appear to be alike</w:t>
      </w:r>
      <w:r>
        <w:t xml:space="preserve"> </w:t>
      </w:r>
      <w:r>
        <w:t xml:space="preserve">(Davies et al., 2023a ; Bannari et al., 2022)</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Cs/>
          <w:i/>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 ; Sousa et al., 2019)</w:t>
      </w:r>
      <w:r>
        <w:t xml:space="preserve">. However, when applied to coastal habitat mapping, most case studies were previously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In addition, the results obtained from drone-based multispectral remote sensing will be spatially degraded to satellite resolutions, and the effect of this resolution on the model’s predictions will be investigated, providing insights for coastal habitat mapping using satellites.</w:t>
      </w:r>
    </w:p>
    <w:bookmarkEnd w:id="20"/>
    <w:bookmarkStart w:id="59"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Cs/>
          <w:i/>
        </w:rPr>
        <w:t xml:space="preserve">Nanozostera noltei</w:t>
      </w:r>
      <w:r>
        <w:t xml:space="preserve"> </w:t>
      </w:r>
      <w:r>
        <w:t xml:space="preserve">(dwarf eelgrass, syn.</w:t>
      </w:r>
      <w:r>
        <w:t xml:space="preserve"> </w:t>
      </w:r>
      <w:r>
        <w:rPr>
          <w:iCs/>
          <w:i/>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Only homogeneous vegetation patches extending over several meters were selected as ground control points.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ook w:firstRow="0" w:lastRow="0" w:firstColumn="0" w:lastColumn="0" w:noHBand="0" w:noVBand="0" w:val="0000"/>
        <w:jc w:val="start"/>
        <w:tblLayout w:type="fixed"/>
      </w:tblPr>
      <w:tblGrid>
        <w:gridCol w:w="7920"/>
      </w:tblGrid>
      <w:tr>
        <w:tc>
          <w:tcPr/>
          <w:bookmarkStart w:id="35" w:name="fig-vegetation"/>
          <w:p>
            <w:pPr>
              <w:pStyle w:val="Compact"/>
              <w:jc w:val="center"/>
            </w:pPr>
            <w:r>
              <w:drawing>
                <wp:inline>
                  <wp:extent cx="5334000" cy="382481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334000" cy="3824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ook w:firstRow="0" w:lastRow="0" w:firstColumn="0" w:lastColumn="0" w:noHBand="0" w:noVBand="0" w:val="0000"/>
        <w:jc w:val="start"/>
        <w:tblLayout w:type="fixed"/>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ook w:firstRow="0" w:lastRow="0" w:firstColumn="0" w:lastColumn="0" w:noHBand="0" w:noVBand="0" w:val="0000"/>
        <w:jc w:val="start"/>
        <w:tblLayout w:type="fixed"/>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(Douay et al., 2022 ; Davies et al., 2023a)</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fine tuned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w:t>
      </w:r>
      <w:r>
        <w:t xml:space="preserve"> </w:t>
      </w:r>
      <w:r>
        <w:rPr>
          <w:iCs/>
          <w:i/>
        </w:rPr>
        <w:t xml:space="preserve">In situ</w:t>
      </w:r>
      <w:r>
        <w:t xml:space="preserve"> </w:t>
      </w:r>
      <w:r>
        <w:t xml:space="preserve">information on georeferenced class type and percent cover, acquired at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7" w:name="Xccbe959c29e7dc4ae9dab7c6e8ca2f1d2e97711"/>
    <w:p>
      <w:pPr>
        <w:pStyle w:val="Heading2"/>
      </w:pPr>
      <w:r>
        <w:t xml:space="preserve">2.6 Impact of the spatial resolution in the prediction</w:t>
      </w:r>
    </w:p>
    <w:p>
      <w:pPr>
        <w:pStyle w:val="FirstParagraph"/>
      </w:pPr>
      <w:r>
        <w:t xml:space="preserve">To assess the impact of spatial resolution on the model’s output, the reflectance of each flight’s orthomosaic was spatially resampled using the average method from the Terra package in R. DISCOV was then applied to these resampled rasters. The results were compared to the original model predictions, which were resampled using the mode method from the Terra package in R. For each resolution and each class of the model, an agreement percentage was obtained, where a score of 100 indicates that all pixels in the two products are identical, and a score of 0 indicates that all pixels are different.</w:t>
      </w:r>
    </w:p>
    <w:p>
      <w:pPr>
        <w:pStyle w:val="BodyText"/>
      </w:pPr>
      <w:r>
        <w:t xml:space="preserve">We used a Generalized Linear Model (GLM) with a Gaussian family and an identity link function to investigate the relationship between pixel resolution, vegetation class, and their interaction on the response variable, the agreement. The formula for the model was:</w:t>
      </w:r>
    </w:p>
    <w:p>
      <w:pPr>
        <w:pStyle w:val="BodyText"/>
      </w:pPr>
      <w:bookmarkStart w:id="56" w:name="eq-gam"/>
      <m:oMathPara>
        <m:oMathParaPr>
          <m:jc m:val="center"/>
        </m:oMathParaPr>
        <m:oMath>
          <m:r>
            <m:t>A</m:t>
          </m:r>
          <m:r>
            <m:t>g</m:t>
          </m:r>
          <m:r>
            <m:t>r</m:t>
          </m:r>
          <m:r>
            <m:t>e</m:t>
          </m:r>
          <m:r>
            <m:t>e</m:t>
          </m:r>
          <m:r>
            <m:t>m</m:t>
          </m:r>
          <m:r>
            <m:t>e</m:t>
          </m:r>
          <m:r>
            <m:t>n</m:t>
          </m:r>
          <m:r>
            <m:t>t</m:t>
          </m:r>
          <m:r>
            <m:rPr>
              <m:sty m:val="p"/>
            </m:rPr>
            <m:t>∼</m:t>
          </m:r>
          <m:r>
            <m:t>R</m:t>
          </m:r>
          <m:r>
            <m:t>e</m:t>
          </m:r>
          <m:r>
            <m:t>s</m:t>
          </m:r>
          <m:r>
            <m:t>o</m:t>
          </m:r>
          <m:r>
            <m:t>l</m:t>
          </m:r>
          <m:r>
            <m:t>u</m:t>
          </m:r>
          <m:r>
            <m:t>t</m:t>
          </m:r>
          <m:r>
            <m:t>i</m:t>
          </m:r>
          <m:r>
            <m:t>o</m:t>
          </m:r>
          <m:r>
            <m:t>n</m:t>
          </m:r>
          <m:r>
            <m:rPr>
              <m:sty m:val="p"/>
            </m:rPr>
            <m:t>×</m:t>
          </m:r>
          <m:r>
            <m:t>V</m:t>
          </m:r>
          <m:r>
            <m:t>e</m:t>
          </m:r>
          <m:r>
            <m:t>g</m:t>
          </m:r>
          <m:r>
            <m:t>e</m:t>
          </m:r>
          <m:r>
            <m:t>t</m:t>
          </m:r>
          <m:r>
            <m:t>a</m:t>
          </m:r>
          <m:r>
            <m:t>t</m:t>
          </m:r>
          <m:r>
            <m:t>i</m:t>
          </m:r>
          <m:r>
            <m:t>o</m:t>
          </m:r>
          <m:r>
            <m:t>n</m:t>
          </m:r>
          <m:r>
            <m:t>C</m:t>
          </m:r>
          <m:r>
            <m:t>l</m:t>
          </m:r>
          <m:r>
            <m:t>a</m:t>
          </m:r>
          <m:r>
            <m:t>s</m:t>
          </m:r>
          <m:r>
            <m:t>s</m:t>
          </m:r>
          <m:r>
            <m:t>  </m:t>
          </m:r>
          <m:d>
            <m:dPr>
              <m:begChr m:val="("/>
              <m:endChr m:val=")"/>
              <m:sepChr m:val=""/>
              <m:grow/>
            </m:dPr>
            <m:e>
              <m:r>
                <m:t>3</m:t>
              </m:r>
            </m:e>
          </m:d>
        </m:oMath>
      </m:oMathPara>
      <w:bookmarkEnd w:id="56"/>
    </w:p>
    <w:bookmarkEnd w:id="57"/>
    <w:bookmarkStart w:id="58"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m and 120 m), resulting in two distinct resolutions for the same area (8 mm and 80 mm).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8"/>
    <w:bookmarkEnd w:id="59"/>
    <w:bookmarkStart w:id="111" w:name="results"/>
    <w:p>
      <w:pPr>
        <w:pStyle w:val="Heading1"/>
      </w:pPr>
      <w:r>
        <w:t xml:space="preserve">3. Results</w:t>
      </w:r>
    </w:p>
    <w:bookmarkStart w:id="65"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m and 120 m) to construct the neural network model. At the sites where the flights at both altitudes overlapped, reflectance was compared. Overall there was a good agreement between the two altitudes (RMSE: 0.027 ;</w:t>
      </w:r>
      <w:r>
        <w:t xml:space="preserve"> </w:t>
      </w:r>
      <w:hyperlink w:anchor="fig-CompareRef">
        <w:r>
          <w:rPr>
            <w:rStyle w:val="Hyperlink"/>
          </w:rPr>
          <w:t xml:space="preserve">Figure 4</w:t>
        </w:r>
      </w:hyperlink>
      <w:r>
        <w:t xml:space="preserve">).</w:t>
      </w:r>
    </w:p>
    <w:bookmarkStart w:id="64" w:name="cell-fig-CompareRef"/>
    <w:tbl>
      <w:tblPr>
        <w:tblStyle w:val="Table"/>
        <w:tblW w:type="pct" w:w="5000"/>
        <w:tblLook w:firstRow="0" w:lastRow="0" w:firstColumn="0" w:lastColumn="0" w:noHBand="0" w:noVBand="0" w:val="0000"/>
        <w:jc w:val="start"/>
        <w:tblLayout w:type="fixed"/>
      </w:tblPr>
      <w:tblGrid>
        <w:gridCol w:w="7920"/>
      </w:tblGrid>
      <w:tr>
        <w:tc>
          <w:tcPr/>
          <w:bookmarkStart w:id="63" w:name="fig-CompareRef"/>
          <w:p>
            <w:pPr>
              <w:pStyle w:val="Compact"/>
              <w:jc w:val="center"/>
            </w:pPr>
            <w:r>
              <w:drawing>
                <wp:inline>
                  <wp:extent cx="5334000" cy="2290564"/>
                  <wp:effectExtent b="0" l="0" r="0" t="0"/>
                  <wp:docPr descr="" title="" id="61" name="Picture"/>
                  <a:graphic>
                    <a:graphicData uri="http://schemas.openxmlformats.org/drawingml/2006/picture">
                      <pic:pic>
                        <pic:nvPicPr>
                          <pic:cNvPr descr="./Figures/High_res/Compare_reflectance_both.png" id="62" name="Picture"/>
                          <pic:cNvPicPr>
                            <a:picLocks noChangeArrowheads="1" noChangeAspect="1"/>
                          </pic:cNvPicPr>
                        </pic:nvPicPr>
                        <pic:blipFill>
                          <a:blip r:embed="rId60"/>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63"/>
        </w:tc>
      </w:tr>
    </w:tbl>
    <w:bookmarkEnd w:id="64"/>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4</w:t>
        </w:r>
      </w:hyperlink>
      <w:r>
        <w:t xml:space="preserve"> </w:t>
      </w:r>
      <w:r>
        <w:t xml:space="preserve">A). Since both flights were conducted over vegetation areas, the highest reflectance values correspond to the infrared part of the spectrum. This difference was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4</w:t>
        </w:r>
      </w:hyperlink>
      <w:r>
        <w:t xml:space="preserve"> </w:t>
      </w:r>
      <w:r>
        <w:t xml:space="preserve">B).</w:t>
      </w:r>
    </w:p>
    <w:bookmarkEnd w:id="65"/>
    <w:bookmarkStart w:id="86" w:name="classification"/>
    <w:p>
      <w:pPr>
        <w:pStyle w:val="Heading2"/>
      </w:pPr>
      <w:r>
        <w:t xml:space="preserve">3.2 Classification</w:t>
      </w:r>
    </w:p>
    <w:p>
      <w:pPr>
        <w:pStyle w:val="FirstParagraph"/>
      </w:pPr>
      <w:r>
        <w:t xml:space="preserve">Each drone flight was used to produce a prediction map, as well as a probability map that indicate the model derived likelihood of the selected class for every pixel. The low-altitude flight conducted in Gafanha, Portugal, represented the site with the highest complexity (</w:t>
      </w:r>
      <w:hyperlink w:anchor="fig-GafLow">
        <w:r>
          <w:rPr>
            <w:rStyle w:val="Hyperlink"/>
          </w:rPr>
          <w:t xml:space="preserve">Figure 5</w:t>
        </w:r>
      </w:hyperlink>
      <w:r>
        <w:t xml:space="preserve">). Among the five vegetation classes on which the model was trained, four were present on this site, with green an red macroalgae mixed with a seagrass meadow. There was also diatoms forming biofilms on bare sediment surface. Although the seagrass was solely composed of a single specie,</w:t>
      </w:r>
      <w:r>
        <w:t xml:space="preserve"> </w:t>
      </w:r>
      <w:r>
        <w:rPr>
          <w:iCs/>
          <w:i/>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70" w:name="cell-fig-GafLow"/>
    <w:tbl>
      <w:tblPr>
        <w:tblStyle w:val="Table"/>
        <w:tblW w:type="pct" w:w="5000"/>
        <w:tblLook w:firstRow="0" w:lastRow="0" w:firstColumn="0" w:lastColumn="0" w:noHBand="0" w:noVBand="0" w:val="0000"/>
        <w:jc w:val="start"/>
        <w:tblLayout w:type="fixed"/>
      </w:tblPr>
      <w:tblGrid>
        <w:gridCol w:w="7920"/>
      </w:tblGrid>
      <w:tr>
        <w:tc>
          <w:tcPr/>
          <w:bookmarkStart w:id="69" w:name="fig-GafLow"/>
          <w:p>
            <w:pPr>
              <w:pStyle w:val="Compact"/>
              <w:jc w:val="center"/>
            </w:pPr>
            <w:r>
              <w:drawing>
                <wp:inline>
                  <wp:extent cx="5334000" cy="2803128"/>
                  <wp:effectExtent b="0" l="0" r="0" t="0"/>
                  <wp:docPr descr="" title="" id="67" name="Picture"/>
                  <a:graphic>
                    <a:graphicData uri="http://schemas.openxmlformats.org/drawingml/2006/picture">
                      <pic:pic>
                        <pic:nvPicPr>
                          <pic:cNvPr descr="./Figures/Low_res/Maps%20Pred/FigX-Gaf_Low_Pred.png" id="68" name="Picture"/>
                          <pic:cNvPicPr>
                            <a:picLocks noChangeArrowheads="1" noChangeAspect="1"/>
                          </pic:cNvPicPr>
                        </pic:nvPicPr>
                        <pic:blipFill>
                          <a:blip r:embed="rId66"/>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9"/>
        </w:tc>
      </w:tr>
    </w:tbl>
    <w:bookmarkEnd w:id="70"/>
    <w:p>
      <w:pPr>
        <w:pStyle w:val="BodyText"/>
      </w:pPr>
      <w:r>
        <w:t xml:space="preserve">The high-altitude flight over Gafanha covered a total area of ~1 km² (</w:t>
      </w:r>
      <w:hyperlink w:anchor="fig-GafHigh">
        <w:r>
          <w:rPr>
            <w:rStyle w:val="Hyperlink"/>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Cs/>
          <w:i/>
        </w:rPr>
        <w:t xml:space="preserve">Sporobolus maritimus</w:t>
      </w:r>
      <w:r>
        <w:t xml:space="preserve"> </w:t>
      </w:r>
      <w:r>
        <w:t xml:space="preserve">(syn.</w:t>
      </w:r>
      <w:r>
        <w:t xml:space="preserve"> </w:t>
      </w:r>
      <w:r>
        <w:rPr>
          <w:iCs/>
          <w:i/>
        </w:rPr>
        <w:t xml:space="preserve">Spartina maritima)</w:t>
      </w:r>
      <w:r>
        <w:t xml:space="preserve"> </w:t>
      </w:r>
      <w:r>
        <w:t xml:space="preserve">were misclassified, either as seagrass or as brown algae (F1 score of 0.77 and 0.71, respectively).</w:t>
      </w:r>
    </w:p>
    <w:bookmarkStart w:id="75" w:name="cell-fig-GafHigh"/>
    <w:tbl>
      <w:tblPr>
        <w:tblStyle w:val="Table"/>
        <w:tblW w:type="pct" w:w="5000"/>
        <w:tblLook w:firstRow="0" w:lastRow="0" w:firstColumn="0" w:lastColumn="0" w:noHBand="0" w:noVBand="0" w:val="0000"/>
        <w:jc w:val="start"/>
        <w:tblLayout w:type="fixed"/>
      </w:tblPr>
      <w:tblGrid>
        <w:gridCol w:w="7920"/>
      </w:tblGrid>
      <w:tr>
        <w:tc>
          <w:tcPr/>
          <w:bookmarkStart w:id="74" w:name="fig-GafHigh"/>
          <w:p>
            <w:pPr>
              <w:pStyle w:val="Compact"/>
              <w:jc w:val="center"/>
            </w:pPr>
            <w:r>
              <w:drawing>
                <wp:inline>
                  <wp:extent cx="3899197" cy="3333431"/>
                  <wp:effectExtent b="0" l="0" r="0" t="0"/>
                  <wp:docPr descr="" title="" id="72" name="Picture"/>
                  <a:graphic>
                    <a:graphicData uri="http://schemas.openxmlformats.org/drawingml/2006/picture">
                      <pic:pic>
                        <pic:nvPicPr>
                          <pic:cNvPr descr="./Figures/Low_res/Maps%20Pred/FigX-Gaf_High_Pred.png" id="73" name="Picture"/>
                          <pic:cNvPicPr>
                            <a:picLocks noChangeArrowheads="1" noChangeAspect="1"/>
                          </pic:cNvPicPr>
                        </pic:nvPicPr>
                        <pic:blipFill>
                          <a:blip r:embed="rId71"/>
                          <a:stretch>
                            <a:fillRect/>
                          </a:stretch>
                        </pic:blipFill>
                        <pic:spPr bwMode="auto">
                          <a:xfrm>
                            <a:off x="0" y="0"/>
                            <a:ext cx="3899197"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5</w:t>
              </w:r>
            </w:hyperlink>
            <w:r>
              <w:t xml:space="preserve">. The zoom covers an area equivalent to a 10-meter Sentinel-2 pixel size.</w:t>
            </w:r>
          </w:p>
          <w:bookmarkEnd w:id="74"/>
        </w:tc>
      </w:tr>
    </w:tbl>
    <w:bookmarkEnd w:id="75"/>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7</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7</w:t>
        </w:r>
      </w:hyperlink>
      <w:r>
        <w:t xml:space="preserve">), the edges of the meadow were mixed with green macroalgae (</w:t>
      </w:r>
      <w:r>
        <w:rPr>
          <w:iCs/>
          <w:i/>
        </w:rPr>
        <w:t xml:space="preserve">Ulva sp.</w:t>
      </w:r>
      <w:r>
        <w:t xml:space="preserve">), which the model agreed with (F1 score of 0.89 for green algae, 0.97 for seagrass and 0.98 for red algae).</w:t>
      </w:r>
    </w:p>
    <w:bookmarkStart w:id="80" w:name="cell-fig-Boat"/>
    <w:tbl>
      <w:tblPr>
        <w:tblStyle w:val="Table"/>
        <w:tblW w:type="pct" w:w="5000"/>
        <w:tblLook w:firstRow="0" w:lastRow="0" w:firstColumn="0" w:lastColumn="0" w:noHBand="0" w:noVBand="0" w:val="0000"/>
        <w:jc w:val="start"/>
        <w:tblLayout w:type="fixed"/>
      </w:tblPr>
      <w:tblGrid>
        <w:gridCol w:w="7920"/>
      </w:tblGrid>
      <w:tr>
        <w:tc>
          <w:tcPr/>
          <w:bookmarkStart w:id="79" w:name="fig-Boat"/>
          <w:p>
            <w:pPr>
              <w:pStyle w:val="Compact"/>
              <w:jc w:val="center"/>
            </w:pPr>
            <w:r>
              <w:drawing>
                <wp:inline>
                  <wp:extent cx="2587232" cy="3425177"/>
                  <wp:effectExtent b="0" l="0" r="0" t="0"/>
                  <wp:docPr descr="" title="" id="77" name="Picture"/>
                  <a:graphic>
                    <a:graphicData uri="http://schemas.openxmlformats.org/drawingml/2006/picture">
                      <pic:pic>
                        <pic:nvPicPr>
                          <pic:cNvPr descr="./Figures/Low_res/Maps%20Pred/FigX-Boat_Pred.png" id="78" name="Picture"/>
                          <pic:cNvPicPr>
                            <a:picLocks noChangeArrowheads="1" noChangeAspect="1"/>
                          </pic:cNvPicPr>
                        </pic:nvPicPr>
                        <pic:blipFill>
                          <a:blip r:embed="rId76"/>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9"/>
        </w:tc>
      </w:tr>
    </w:tbl>
    <w:bookmarkEnd w:id="80"/>
    <w:p>
      <w:pPr>
        <w:pStyle w:val="BodyText"/>
      </w:pPr>
      <w:r>
        <w:t xml:space="preserve">The flight over L’Epine in Noirmoutier Island, France (</w:t>
      </w:r>
      <w:hyperlink w:anchor="fig-Dike">
        <w:r>
          <w:rPr>
            <w:rStyle w:val="Hyperlink"/>
          </w:rPr>
          <w:t xml:space="preserve">Figure 8</w:t>
        </w:r>
      </w:hyperlink>
      <w:r>
        <w:t xml:space="preserve"> </w:t>
      </w:r>
      <w:r>
        <w:t xml:space="preserve">A) was conducted near a dike, which crossed the northern part of the site from West to East. Alongside this dike, Fucale brown macroalgae (</w:t>
      </w:r>
      <w:r>
        <w:rPr>
          <w:iCs/>
          <w:i/>
        </w:rPr>
        <w:t xml:space="preserve">Fucus spp.</w:t>
      </w:r>
      <w:r>
        <w:t xml:space="preserve">,</w:t>
      </w:r>
      <w:r>
        <w:t xml:space="preserve"> </w:t>
      </w:r>
      <w:r>
        <w:rPr>
          <w:iCs/>
          <w:i/>
        </w:rPr>
        <w:t xml:space="preserve">Ascophyllum nodosum</w:t>
      </w:r>
      <w:r>
        <w:t xml:space="preserve">) were attached to sparse rocks and stranded green algae (</w:t>
      </w:r>
      <w:r>
        <w:rPr>
          <w:iCs/>
          <w:i/>
        </w:rPr>
        <w:t xml:space="preserve">Ulva spp.</w:t>
      </w:r>
      <w:r>
        <w:t xml:space="preserve">) could be observed and this was correctly reproduced by the prediction (</w:t>
      </w:r>
      <w:hyperlink w:anchor="fig-Dike">
        <w:r>
          <w:rPr>
            <w:rStyle w:val="Hyperlink"/>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5" w:name="cell-fig-Dike"/>
    <w:tbl>
      <w:tblPr>
        <w:tblStyle w:val="Table"/>
        <w:tblW w:type="pct" w:w="5000"/>
        <w:tblLook w:firstRow="0" w:lastRow="0" w:firstColumn="0" w:lastColumn="0" w:noHBand="0" w:noVBand="0" w:val="0000"/>
        <w:jc w:val="start"/>
        <w:tblLayout w:type="fixed"/>
      </w:tblPr>
      <w:tblGrid>
        <w:gridCol w:w="7920"/>
      </w:tblGrid>
      <w:tr>
        <w:tc>
          <w:tcPr/>
          <w:bookmarkStart w:id="84" w:name="fig-Dike"/>
          <w:p>
            <w:pPr>
              <w:pStyle w:val="Compact"/>
              <w:jc w:val="center"/>
            </w:pPr>
            <w:r>
              <w:drawing>
                <wp:inline>
                  <wp:extent cx="3293674" cy="2752374"/>
                  <wp:effectExtent b="0" l="0" r="0" t="0"/>
                  <wp:docPr descr="" title="" id="82" name="Picture"/>
                  <a:graphic>
                    <a:graphicData uri="http://schemas.openxmlformats.org/drawingml/2006/picture">
                      <pic:pic>
                        <pic:nvPicPr>
                          <pic:cNvPr descr="./Figures/Low_res/Maps%20Pred/FigX-Dike_Pred.png" id="83" name="Picture"/>
                          <pic:cNvPicPr>
                            <a:picLocks noChangeArrowheads="1" noChangeAspect="1"/>
                          </pic:cNvPicPr>
                        </pic:nvPicPr>
                        <pic:blipFill>
                          <a:blip r:embed="rId81"/>
                          <a:stretch>
                            <a:fillRect/>
                          </a:stretch>
                        </pic:blipFill>
                        <pic:spPr bwMode="auto">
                          <a:xfrm>
                            <a:off x="0" y="0"/>
                            <a:ext cx="3293674"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4"/>
        </w:tc>
      </w:tr>
    </w:tbl>
    <w:bookmarkEnd w:id="85"/>
    <w:bookmarkEnd w:id="86"/>
    <w:bookmarkStart w:id="92"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Hyperlink"/>
          </w:rPr>
          <w:t xml:space="preserve">Figure 9</w:t>
        </w:r>
      </w:hyperlink>
      <w:r>
        <w:t xml:space="preserve">).</w:t>
      </w:r>
    </w:p>
    <w:bookmarkStart w:id="91" w:name="cell-fig-Validation"/>
    <w:tbl>
      <w:tblPr>
        <w:tblStyle w:val="Table"/>
        <w:tblW w:type="pct" w:w="5000"/>
        <w:tblLook w:firstRow="0" w:lastRow="0" w:firstColumn="0" w:lastColumn="0" w:noHBand="0" w:noVBand="0" w:val="0000"/>
        <w:jc w:val="start"/>
        <w:tblLayout w:type="fixed"/>
      </w:tblPr>
      <w:tblGrid>
        <w:gridCol w:w="7920"/>
      </w:tblGrid>
      <w:tr>
        <w:tc>
          <w:tcPr/>
          <w:bookmarkStart w:id="90" w:name="fig-Validation"/>
          <w:p>
            <w:pPr>
              <w:pStyle w:val="Compact"/>
              <w:jc w:val="center"/>
            </w:pPr>
            <w:r>
              <w:drawing>
                <wp:inline>
                  <wp:extent cx="4339577" cy="3003146"/>
                  <wp:effectExtent b="0" l="0" r="0" t="0"/>
                  <wp:docPr descr="" title="" id="88" name="Picture"/>
                  <a:graphic>
                    <a:graphicData uri="http://schemas.openxmlformats.org/drawingml/2006/picture">
                      <pic:pic>
                        <pic:nvPicPr>
                          <pic:cNvPr descr="./Figures/Low_res/Validation/ConfusionMatrixGlobal.png" id="89" name="Picture"/>
                          <pic:cNvPicPr>
                            <a:picLocks noChangeArrowheads="1" noChangeAspect="1"/>
                          </pic:cNvPicPr>
                        </pic:nvPicPr>
                        <pic:blipFill>
                          <a:blip r:embed="rId87"/>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90"/>
        </w:tc>
      </w:tr>
    </w:tbl>
    <w:bookmarkEnd w:id="91"/>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2"/>
    <w:bookmarkStart w:id="98"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7" w:name="cell-fig-VIP"/>
    <w:tbl>
      <w:tblPr>
        <w:tblStyle w:val="Table"/>
        <w:tblW w:type="pct" w:w="5000"/>
        <w:tblLook w:firstRow="0" w:lastRow="0" w:firstColumn="0" w:lastColumn="0" w:noHBand="0" w:noVBand="0" w:val="0000"/>
        <w:jc w:val="start"/>
        <w:tblLayout w:type="fixed"/>
      </w:tblPr>
      <w:tblGrid>
        <w:gridCol w:w="7920"/>
      </w:tblGrid>
      <w:tr>
        <w:tc>
          <w:tcPr/>
          <w:bookmarkStart w:id="96" w:name="fig-VIP"/>
          <w:p>
            <w:pPr>
              <w:pStyle w:val="Compact"/>
              <w:jc w:val="center"/>
            </w:pPr>
            <w:r>
              <w:drawing>
                <wp:inline>
                  <wp:extent cx="4721851" cy="3452701"/>
                  <wp:effectExtent b="0" l="0" r="0" t="0"/>
                  <wp:docPr descr="" title="" id="94" name="Picture"/>
                  <a:graphic>
                    <a:graphicData uri="http://schemas.openxmlformats.org/drawingml/2006/picture">
                      <pic:pic>
                        <pic:nvPicPr>
                          <pic:cNvPr descr="Figures/Low_res/VIP/Fig_VIP.png" id="95" name="Picture"/>
                          <pic:cNvPicPr>
                            <a:picLocks noChangeArrowheads="1" noChangeAspect="1"/>
                          </pic:cNvPicPr>
                        </pic:nvPicPr>
                        <pic:blipFill>
                          <a:blip r:embed="rId93"/>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6"/>
        </w:tc>
      </w:tr>
    </w:tbl>
    <w:bookmarkEnd w:id="97"/>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8"/>
    <w:bookmarkStart w:id="104" w:name="Xcf81fd88fca8b2950efc6312df8973a274d7c61"/>
    <w:p>
      <w:pPr>
        <w:pStyle w:val="Heading2"/>
      </w:pPr>
      <w:r>
        <w:t xml:space="preserve">3.5 Effect of the spatial resolution on the prediction</w:t>
      </w:r>
    </w:p>
    <w:p>
      <w:pPr>
        <w:pStyle w:val="FirstParagraph"/>
      </w:pPr>
      <w:hyperlink w:anchor="fig-pixelsize">
        <w:r>
          <w:rPr>
            <w:rStyle w:val="Hyperlink"/>
          </w:rPr>
          <w:t xml:space="preserve">Figure 11</w:t>
        </w:r>
      </w:hyperlink>
      <w:r>
        <w:t xml:space="preserve"> </w:t>
      </w:r>
      <w:r>
        <w:t xml:space="preserve">demonstrated the effect of pixel size on the agreement between two products. The highest resolution at which resampling was performed was 10 cm. At this resolution, agreement rates had already decreased, ranging from 78% for red algae to 94% for seagrass, depending on the class. As pixel size increased, the agreement between the products steadily declined across all classes. This decline was most pronounced for green algae, which experienced the sharpest drop in agreement as pixel size surpassed 10 m, falling below 0% at a 30 m pixel size. Seagrass maintained higher agreement levels at coarser resolutions, though a clear decline was still observed, dropping from over 94% at 10 cm to around 88% at 30 m. Brown algae and red algae showed a more moderate decline in comparison, with agreement levels at 30 m resolution settling around 62% and 40%, respectively.</w:t>
      </w:r>
    </w:p>
    <w:bookmarkStart w:id="103" w:name="cell-fig-pixelsize"/>
    <w:tbl>
      <w:tblPr>
        <w:tblStyle w:val="Table"/>
        <w:tblW w:type="pct" w:w="5000"/>
        <w:tblLook w:firstRow="0" w:lastRow="0" w:firstColumn="0" w:lastColumn="0" w:noHBand="0" w:noVBand="0" w:val="0000"/>
        <w:jc w:val="start"/>
        <w:tblLayout w:type="fixed"/>
      </w:tblPr>
      <w:tblGrid>
        <w:gridCol w:w="7920"/>
      </w:tblGrid>
      <w:tr>
        <w:tc>
          <w:tcPr/>
          <w:bookmarkStart w:id="102" w:name="fig-pixelsize"/>
          <w:p>
            <w:pPr>
              <w:pStyle w:val="Compact"/>
              <w:jc w:val="center"/>
            </w:pPr>
            <w:r>
              <w:drawing>
                <wp:inline>
                  <wp:extent cx="4800600" cy="3255812"/>
                  <wp:effectExtent b="0" l="0" r="0" t="0"/>
                  <wp:docPr descr="" title="" id="100" name="Picture"/>
                  <a:graphic>
                    <a:graphicData uri="http://schemas.openxmlformats.org/drawingml/2006/picture">
                      <pic:pic>
                        <pic:nvPicPr>
                          <pic:cNvPr descr="Figures/High_res/resolution_plot.png" id="101" name="Picture"/>
                          <pic:cNvPicPr>
                            <a:picLocks noChangeArrowheads="1" noChangeAspect="1"/>
                          </pic:cNvPicPr>
                        </pic:nvPicPr>
                        <pic:blipFill>
                          <a:blip r:embed="rId99"/>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Coucou</w:t>
            </w:r>
          </w:p>
          <w:bookmarkEnd w:id="102"/>
        </w:tc>
      </w:tr>
    </w:tbl>
    <w:bookmarkEnd w:id="103"/>
    <w:p>
      <w:pPr>
        <w:pStyle w:val="BodyText"/>
      </w:pPr>
      <w:r>
        <w:t xml:space="preserve">The Generalized Linear Model (GLM) analysis revealed a significant effect of pixel resolution on the agreement, with a negative relationship (</w:t>
      </w:r>
      <m:oMath>
        <m:r>
          <m:t>β</m:t>
        </m:r>
        <m:r>
          <m:rPr>
            <m:sty m:val="p"/>
          </m:rPr>
          <m:t>=</m:t>
        </m:r>
        <m:r>
          <m:rPr>
            <m:sty m:val="p"/>
          </m:rPr>
          <m:t>−</m:t>
        </m:r>
        <m:r>
          <m:t>1.0334</m:t>
        </m:r>
        <m:r>
          <m:rPr>
            <m:sty m:val="p"/>
          </m:rPr>
          <m:t>×</m:t>
        </m:r>
        <m:sSup>
          <m:e>
            <m:r>
              <m:t>10</m:t>
            </m:r>
          </m:e>
          <m:sup>
            <m:r>
              <m:rPr>
                <m:sty m:val="p"/>
              </m:rPr>
              <m:t>−</m:t>
            </m:r>
            <m:r>
              <m:t>8</m:t>
            </m:r>
          </m:sup>
        </m:sSup>
        <m:r>
          <m:rPr>
            <m:sty m:val="p"/>
          </m:rPr>
          <m:t>,</m:t>
        </m:r>
        <m:r>
          <m:t>p</m:t>
        </m:r>
        <m:r>
          <m:rPr>
            <m:sty m:val="p"/>
          </m:rPr>
          <m:t>&lt;</m:t>
        </m:r>
        <m:r>
          <m:t>0.001</m:t>
        </m:r>
      </m:oMath>
      <w:r>
        <w:t xml:space="preserve">). This indicates that as pixel resolution increases, the proportion of the response variable decreases.</w:t>
      </w:r>
    </w:p>
    <w:p>
      <w:pPr>
        <w:pStyle w:val="BodyText"/>
      </w:pPr>
      <w:r>
        <w:t xml:space="preserve">The vegetation classes also exhibited distinct effects on the agreement. Magnoliopsida showed a significant positive effect (</w:t>
      </w:r>
      <m:oMath>
        <m:r>
          <m:t>β</m:t>
        </m:r>
        <m:r>
          <m:rPr>
            <m:sty m:val="p"/>
          </m:rPr>
          <m:t>=</m:t>
        </m:r>
        <m:r>
          <m:t>0.1202</m:t>
        </m:r>
        <m:r>
          <m:rPr>
            <m:sty m:val="p"/>
          </m:rPr>
          <m:t>,</m:t>
        </m:r>
        <m:r>
          <m:t>p</m:t>
        </m:r>
        <m:r>
          <m:rPr>
            <m:sty m:val="p"/>
          </m:rPr>
          <m:t>&lt;</m:t>
        </m:r>
        <m:r>
          <m:t>0.001</m:t>
        </m:r>
      </m:oMath>
      <w:r>
        <w:t xml:space="preserve">), suggesting that this class was associated with a higher agreement.</w:t>
      </w:r>
    </w:p>
    <w:bookmarkEnd w:id="104"/>
    <w:bookmarkStart w:id="110" w:name="X7d8c98344fb9b0b2820ed333ea1419091199e0e"/>
    <w:p>
      <w:pPr>
        <w:pStyle w:val="Heading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Hyperlink"/>
          </w:rPr>
          <w:t xml:space="preserve">Figure 12</w:t>
        </w:r>
      </w:hyperlink>
      <w:r>
        <w:t xml:space="preserve">).</w:t>
      </w:r>
    </w:p>
    <w:bookmarkStart w:id="109" w:name="cell-fig-upscaling"/>
    <w:tbl>
      <w:tblPr>
        <w:tblStyle w:val="Table"/>
        <w:tblW w:type="pct" w:w="5000"/>
        <w:tblLook w:firstRow="0" w:lastRow="0" w:firstColumn="0" w:lastColumn="0" w:noHBand="0" w:noVBand="0" w:val="0000"/>
        <w:jc w:val="start"/>
        <w:tblLayout w:type="fixed"/>
      </w:tblPr>
      <w:tblGrid>
        <w:gridCol w:w="7920"/>
      </w:tblGrid>
      <w:tr>
        <w:tc>
          <w:tcPr/>
          <w:bookmarkStart w:id="108" w:name="fig-upscaling"/>
          <w:p>
            <w:pPr>
              <w:pStyle w:val="Compact"/>
              <w:jc w:val="center"/>
            </w:pPr>
            <w:r>
              <w:drawing>
                <wp:inline>
                  <wp:extent cx="4800600" cy="6443062"/>
                  <wp:effectExtent b="0" l="0" r="0" t="0"/>
                  <wp:docPr descr="" title="" id="106" name="Picture"/>
                  <a:graphic>
                    <a:graphicData uri="http://schemas.openxmlformats.org/drawingml/2006/picture">
                      <pic:pic>
                        <pic:nvPicPr>
                          <pic:cNvPr descr="Figures/Low_res/Upscaling/density_vs_Proportion.png" id="107" name="Picture"/>
                          <pic:cNvPicPr>
                            <a:picLocks noChangeArrowheads="1" noChangeAspect="1"/>
                          </pic:cNvPicPr>
                        </pic:nvPicPr>
                        <pic:blipFill>
                          <a:blip r:embed="rId105"/>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8"/>
        </w:tc>
      </w:tr>
    </w:tbl>
    <w:bookmarkEnd w:id="109"/>
    <w:p>
      <w:pPr>
        <w:pStyle w:val="BodyText"/>
      </w:pPr>
      <w:r>
        <w:t xml:space="preserve">A percent cover of at least 80% was sufficient to have all the pixels of high altitude flights correctly classified, with the exception of Magnoliopsida that required a higher cover (&gt;90 %) to be well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w:t>
      </w:r>
      <w:r>
        <w:t xml:space="preserve"> </w:t>
      </w: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10"/>
    <w:bookmarkEnd w:id="111"/>
    <w:bookmarkStart w:id="126" w:name="discussion"/>
    <w:p>
      <w:pPr>
        <w:pStyle w:val="Heading1"/>
      </w:pPr>
      <w:r>
        <w:t xml:space="preserve">4. Discussion</w:t>
      </w:r>
    </w:p>
    <w:bookmarkStart w:id="122"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at low tide on tidal flats, specifically focusing on distinguishing between Chlorophyceae (green macroalgae) and marine Magnoliopsida (seagrasses) using a multispectral resolution. The discrimination of seagrasses from green macroalgae presents is spectrally challenging</w:t>
      </w:r>
      <w:r>
        <w:t xml:space="preserve"> </w:t>
      </w:r>
      <w:r>
        <w:t xml:space="preserve">(Oiry and Barillé, 2021 ; Bannari et al., 2022 ;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In this study the risk of spectral confusion was avoided with a machine-learning approach exploiting a neural networks classifier. Our drone flights and a recent study based on</w:t>
      </w:r>
      <w:r>
        <w:t xml:space="preserve"> </w:t>
      </w:r>
      <w:r>
        <w:rPr>
          <w:iCs/>
          <w:i/>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6" w:name="cell-fig-Pigm"/>
    <w:tbl>
      <w:tblPr>
        <w:tblStyle w:val="Table"/>
        <w:tblW w:type="pct" w:w="5000"/>
        <w:tblLook w:firstRow="0" w:lastRow="0" w:firstColumn="0" w:lastColumn="0" w:noHBand="0" w:noVBand="0" w:val="0000"/>
        <w:jc w:val="start"/>
        <w:tblLayout w:type="fixed"/>
      </w:tblPr>
      <w:tblGrid>
        <w:gridCol w:w="7920"/>
      </w:tblGrid>
      <w:tr>
        <w:tc>
          <w:tcPr/>
          <w:bookmarkStart w:id="115" w:name="fig-Pigm"/>
          <w:p>
            <w:pPr>
              <w:pStyle w:val="Compact"/>
              <w:jc w:val="center"/>
            </w:pPr>
            <w:r>
              <w:drawing>
                <wp:inline>
                  <wp:extent cx="5334000" cy="2473274"/>
                  <wp:effectExtent b="0" l="0" r="0" t="0"/>
                  <wp:docPr descr="" title="" id="113" name="Picture"/>
                  <a:graphic>
                    <a:graphicData uri="http://schemas.openxmlformats.org/drawingml/2006/picture">
                      <pic:pic>
                        <pic:nvPicPr>
                          <pic:cNvPr descr="./Figures/Low_res/Disc_Pigment_Table.png" id="114" name="Picture"/>
                          <pic:cNvPicPr>
                            <a:picLocks noChangeArrowheads="1" noChangeAspect="1"/>
                          </pic:cNvPicPr>
                        </pic:nvPicPr>
                        <pic:blipFill>
                          <a:blip r:embed="rId112"/>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5"/>
        </w:tc>
      </w:tr>
    </w:tbl>
    <w:bookmarkEnd w:id="116"/>
    <w:bookmarkStart w:id="121" w:name="cell-fig-ValidationGreen"/>
    <w:tbl>
      <w:tblPr>
        <w:tblStyle w:val="Table"/>
        <w:tblW w:type="pct" w:w="5000"/>
        <w:tblLook w:firstRow="0" w:lastRow="0" w:firstColumn="0" w:lastColumn="0" w:noHBand="0" w:noVBand="0" w:val="0000"/>
        <w:jc w:val="start"/>
        <w:tblLayout w:type="fixed"/>
      </w:tblPr>
      <w:tblGrid>
        <w:gridCol w:w="7920"/>
      </w:tblGrid>
      <w:tr>
        <w:tc>
          <w:tcPr/>
          <w:bookmarkStart w:id="120" w:name="fig-ValidationGreen"/>
          <w:p>
            <w:pPr>
              <w:pStyle w:val="Compact"/>
              <w:jc w:val="center"/>
            </w:pPr>
            <w:r>
              <w:drawing>
                <wp:inline>
                  <wp:extent cx="2709559" cy="1932778"/>
                  <wp:effectExtent b="0" l="0" r="0" t="0"/>
                  <wp:docPr descr="" title="" id="118" name="Picture"/>
                  <a:graphic>
                    <a:graphicData uri="http://schemas.openxmlformats.org/drawingml/2006/picture">
                      <pic:pic>
                        <pic:nvPicPr>
                          <pic:cNvPr descr="./Figures/Low_res/Validation/ConfusionMatrixGreen.png" id="119" name="Picture"/>
                          <pic:cNvPicPr>
                            <a:picLocks noChangeArrowheads="1" noChangeAspect="1"/>
                          </pic:cNvPicPr>
                        </pic:nvPicPr>
                        <pic:blipFill>
                          <a:blip r:embed="rId117"/>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0"/>
        </w:tc>
      </w:tr>
    </w:tbl>
    <w:bookmarkEnd w:id="121"/>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 Kirk, 1994 ; Hedley et al., 2018)</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variable importance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these unicellular organisms compared to seagrass and macroalgae.</w:t>
      </w:r>
    </w:p>
    <w:bookmarkEnd w:id="122"/>
    <w:bookmarkStart w:id="123"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w:t>
      </w:r>
      <w:r>
        <w:t xml:space="preserve"> </w:t>
      </w:r>
      <w:r>
        <w:t xml:space="preserve">While comparing the reflectance at two different altitudes (12 m and 120 m), a nearly one-to-one relationship was observed, with a Root Mean Square Error (RMSE) of 0.02 (</w:t>
      </w:r>
      <w:hyperlink w:anchor="fig-CompareRef">
        <w:r>
          <w:rPr>
            <w:rStyle w:val="Hyperlink"/>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2024a)</w:t>
      </w:r>
      <w:r>
        <w:t xml:space="preserve">. At some sites, they completely disappear during the winter and reach their peak above-ground biomass in the summer and early fall. Along with these seasonal changes in biomass, the pigment composition and ratios also vary throughout the year, reflecting the plants’ adaptations to different environmental conditions</w:t>
      </w:r>
      <w:r>
        <w:t xml:space="preserve"> </w:t>
      </w:r>
      <w:r>
        <w:t xml:space="preserve">(Bargain et al., 2013 ;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(Fyfe, 2003 ; Costa et al., 2021 ; Piaser et al., 2023)</w:t>
      </w:r>
      <w:r>
        <w:t xml:space="preserve">. We found 90 % seagrass cover was necessary at an 8 cm resolution for confident prediction of its presence (</w:t>
      </w:r>
      <w:hyperlink w:anchor="fig-upscaling">
        <w:r>
          <w:rPr>
            <w:rStyle w:val="Hyperlink"/>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3"/>
    <w:bookmarkStart w:id="124" w:name="X8ee0ba22c6fafee2c4fdf3a7dcdce5bc64eb5f3"/>
    <w:p>
      <w:pPr>
        <w:pStyle w:val="Heading2"/>
      </w:pPr>
      <w:r>
        <w:t xml:space="preserve">4.3 Impact of Pixel Resolution on the prediction and Implications for Satellite Remote Sensing</w:t>
      </w:r>
    </w:p>
    <w:p>
      <w:pPr>
        <w:pStyle w:val="FirstParagraph"/>
      </w:pPr>
      <w:r>
        <w:t xml:space="preserve">The results of</w:t>
      </w:r>
      <w:r>
        <w:t xml:space="preserve"> </w:t>
      </w:r>
      <w:hyperlink w:anchor="fig-pixelsize">
        <w:r>
          <w:rPr>
            <w:rStyle w:val="Hyperlink"/>
          </w:rPr>
          <w:t xml:space="preserve">Figure 11</w:t>
        </w:r>
      </w:hyperlink>
      <w:r>
        <w:t xml:space="preserve"> </w:t>
      </w:r>
      <w:r>
        <w:t xml:space="preserve">highlight the importance of pixel resolution in maintaining accurate classification and agreement between products derived from remote sensing data with different spatial resolutions. As the pixel size increases, a consistent decline in agreement is observed across all vegetation classes, with more pronounced effects for certain classes, such as green algae. This phenomenon underscores the sensitivity of spatial resolution in distinguishing smaller or patchier vegetation features. Green algae, being more patchy in all our study sites, demonstrates the steepest drop in agreement with increasing pixel size, which aligns with expectations given the limitations of coarser resolution in capturing fine-scale details.</w:t>
      </w:r>
    </w:p>
    <w:p>
      <w:pPr>
        <w:pStyle w:val="BodyText"/>
      </w:pPr>
      <w:r>
        <w:t xml:space="preserve">This relationship between resolution and agreement has significant implications for satellite platforms like Sentinel-2 and Landsat. Both satellites, commonly used in marine and coastal vegetation studies, offer medium-resolution imagery, with pixel sizes of 10 m and 30 m, respectively. While these resolutions are suitable for broad-scale environmental monitoring, they may struggle to capture finer-scale heterogeneity, especially for more fragmented or patchy vegetation types like green algae. The results suggest that while coarser resolutions like those of Landsat are sufficient for seagrass and other more homogeneous vegetation types, higher resolutions are essential for accurately mapping species like green algae.</w:t>
      </w:r>
    </w:p>
    <w:bookmarkEnd w:id="124"/>
    <w:bookmarkStart w:id="125"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 Marquet et al., 2024; Schibalski et al., 2022)</w:t>
      </w:r>
      <w:r>
        <w:t xml:space="preserve"> </w:t>
      </w:r>
      <w:r>
        <w:t xml:space="preserve">and the demand for meaningful and efficient monitoring of coastal habitats has never been higher</w:t>
      </w:r>
      <w:r>
        <w:t xml:space="preserve">(Muller-Karger et al., 2018 ; Villalobos Perna et al., 2023 ; Oiry and Barillé, 2021)</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 Ye et al., 2011)</w:t>
      </w:r>
      <w:r>
        <w:t xml:space="preserve">. The first green tide events (i.e. bloom of green macroalgae of the genus</w:t>
      </w:r>
      <w:r>
        <w:t xml:space="preserve"> </w:t>
      </w:r>
      <w:r>
        <w:rPr>
          <w:iCs/>
          <w:i/>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Cs/>
          <w:i/>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Cs/>
          <w:i/>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(Schreyers et al., 2021 ; Klemas, 2012 ; Haro et al., 2023)</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 Nordlund et al., 2024 ;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2024b)</w:t>
      </w:r>
      <w:r>
        <w:t xml:space="preserve">.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5"/>
    <w:bookmarkEnd w:id="126"/>
    <w:bookmarkStart w:id="226"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5" w:name="refs"/>
    <w:bookmarkStart w:id="127" w:name="ref-adade2021"/>
    <w:p>
      <w:pPr>
        <w:pStyle w:val="Bibliography"/>
      </w:pPr>
      <w:r>
        <w:t xml:space="preserve">Adade, R., Aibinu, A.M., Ekumah, B., Asaana, J., 2021. Unmanned aerial vehicle (UAV) applications in coastal zone management—a review. Environmental Monitoring and Assessment 193, 1–12.</w:t>
      </w:r>
    </w:p>
    <w:bookmarkEnd w:id="127"/>
    <w:bookmarkStart w:id="129" w:name="ref-agisoft"/>
    <w:p>
      <w:pPr>
        <w:pStyle w:val="Bibliography"/>
      </w:pPr>
      <w:r>
        <w:t xml:space="preserve">Agisoft, 2019.</w:t>
      </w:r>
      <w:r>
        <w:t xml:space="preserve"> </w:t>
      </w:r>
      <w:hyperlink r:id="rId128">
        <w:r>
          <w:rPr>
            <w:rStyle w:val="Hyperlink"/>
          </w:rPr>
          <w:t xml:space="preserve">Agisoft metashape</w:t>
        </w:r>
      </w:hyperlink>
      <w:r>
        <w:t xml:space="preserve">.</w:t>
      </w:r>
    </w:p>
    <w:bookmarkEnd w:id="129"/>
    <w:bookmarkStart w:id="1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0"/>
    <w:bookmarkStart w:id="13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1"/>
    <w:bookmarkStart w:id="132"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2"/>
    <w:bookmarkStart w:id="133" w:name="ref-beach1997vivo"/>
    <w:p>
      <w:pPr>
        <w:pStyle w:val="Bibliography"/>
      </w:pPr>
      <w:r>
        <w:t xml:space="preserve">Beach, K., Borgeas, H., Nishimura, N., Smith, C., 1997. In vivo absorbance spectra and the ecophysiology of reef macroalgae. Coral Reefs 16, 21–28.</w:t>
      </w:r>
    </w:p>
    <w:bookmarkEnd w:id="133"/>
    <w:bookmarkStart w:id="13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4">
        <w:r>
          <w:rPr>
            <w:rStyle w:val="Hyperlink"/>
          </w:rPr>
          <w:t xml:space="preserve">https://doi.org/10.3390/RS14020307</w:t>
        </w:r>
      </w:hyperlink>
    </w:p>
    <w:bookmarkEnd w:id="135"/>
    <w:bookmarkStart w:id="13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6">
        <w:r>
          <w:rPr>
            <w:rStyle w:val="Hyperlink"/>
          </w:rPr>
          <w:t xml:space="preserve">https://doi.org/10.1139/cjfas-2016-0137</w:t>
        </w:r>
      </w:hyperlink>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1"/>
    <w:bookmarkStart w:id="142" w:name="ref-collin2019improving"/>
    <w:p>
      <w:pPr>
        <w:pStyle w:val="Bibliography"/>
      </w:pPr>
      <w:r>
        <w:t xml:space="preserve">Collin, A., Dubois, S., James, D., Houet, T., 2019. Improving intertidal reef mapping using UAV surface, red edge, and near-infrared data. Drones 3, 67.</w:t>
      </w:r>
    </w:p>
    <w:bookmarkEnd w:id="142"/>
    <w:bookmarkStart w:id="14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3">
        <w:r>
          <w:rPr>
            <w:rStyle w:val="Hyperlink"/>
          </w:rPr>
          <w:t xml:space="preserve">https://doi.org/10.1016/j.ecolind.2020.107018</w:t>
        </w:r>
      </w:hyperlink>
    </w:p>
    <w:bookmarkEnd w:id="144"/>
    <w:bookmarkStart w:id="14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5">
        <w:r>
          <w:rPr>
            <w:rStyle w:val="Hyperlink"/>
          </w:rPr>
          <w:t xml:space="preserve">https://doi.org/10.1016/j.rse.2023.113554</w:t>
        </w:r>
      </w:hyperlink>
    </w:p>
    <w:bookmarkEnd w:id="146"/>
    <w:bookmarkStart w:id="147" w:name="ref-davies2024sentinel"/>
    <w:p>
      <w:pPr>
        <w:pStyle w:val="Bibliography"/>
      </w:pPr>
      <w:r>
        <w:t xml:space="preserve">Davies, B.F.R., Oiry, S., Rosa, P., Zoffoli, M.L., Sousa, A.I., Thomas, O.R., Smale, D.A., Austen, M.C., Biermann, L., Attrill, M.J., others, 2024a. A sentinel watching over inter-tidal seagrass phenology across western europe and north africa. Communications Earth &amp; Environment 5, 382.</w:t>
      </w:r>
    </w:p>
    <w:bookmarkEnd w:id="147"/>
    <w:bookmarkStart w:id="148" w:name="ref-davies2024intertidal"/>
    <w:p>
      <w:pPr>
        <w:pStyle w:val="Bibliography"/>
      </w:pPr>
      <w:r>
        <w:t xml:space="preserve">Davies, B.F.R., Oiry, S., Rosa, P., Zoffoli, M.L., Sousa, A.I., Thomas, O.R., Smale, D.A., Austen, M.C., Biermann, L., Attrill, M.J., others, 2024b. Intertidal seagrass extent from sentinel-2 time-series show distinct trajectories in western europe. Remote Sensing of Environment 312, 114340.</w:t>
      </w:r>
    </w:p>
    <w:bookmarkEnd w:id="148"/>
    <w:bookmarkStart w:id="150" w:name="ref-BedeGbif"/>
    <w:p>
      <w:pPr>
        <w:pStyle w:val="Bibliography"/>
      </w:pPr>
      <w:r>
        <w:t xml:space="preserve">Davies, B.F.R., Sousa, A.I., Figueira, R., Oiry, S., Gernez, P., Barillé, L., 2023b. Benthic intertidal vegetation from the tagus estuary and aveiro lagoon.</w:t>
      </w:r>
      <w:r>
        <w:t xml:space="preserve"> </w:t>
      </w:r>
      <w:hyperlink r:id="rId149">
        <w:r>
          <w:rPr>
            <w:rStyle w:val="Hyperlink"/>
          </w:rPr>
          <w:t xml:space="preserve">https://doi.org/10.15468/n4ak6x</w:t>
        </w:r>
      </w:hyperlink>
    </w:p>
    <w:bookmarkEnd w:id="150"/>
    <w:bookmarkStart w:id="151" w:name="ref-devlin2023nutrients"/>
    <w:p>
      <w:pPr>
        <w:pStyle w:val="Bibliography"/>
      </w:pPr>
      <w:r>
        <w:t xml:space="preserve">Devlin, M., Brodie, J., 2023. Nutrients and eutrophication, in: Marine Pollution–Monitoring, Management and Mitigation. Springer, pp. 75–100.</w:t>
      </w:r>
    </w:p>
    <w:bookmarkEnd w:id="151"/>
    <w:bookmarkStart w:id="153" w:name="ref-Douay2022"/>
    <w:p>
      <w:pPr>
        <w:pStyle w:val="Bibliography"/>
      </w:pPr>
      <w:r>
        <w:t xml:space="preserve">Douay, F., Verpoorter, C., Duong, G., Spilmont, N., Gevaert, F., 2022. New hyperspectral procedure to discriminate intertidal macroalgae. Remote Sensing 14.</w:t>
      </w:r>
      <w:r>
        <w:t xml:space="preserve"> </w:t>
      </w:r>
      <w:hyperlink r:id="rId152">
        <w:r>
          <w:rPr>
            <w:rStyle w:val="Hyperlink"/>
          </w:rPr>
          <w:t xml:space="preserve">https://doi.org/10.3390/rs14020346</w:t>
        </w:r>
      </w:hyperlink>
    </w:p>
    <w:bookmarkEnd w:id="153"/>
    <w:bookmarkStart w:id="15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4"/>
    <w:bookmarkStart w:id="15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5"/>
    <w:bookmarkStart w:id="15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6"/>
    <w:bookmarkStart w:id="157" w:name="ref-foden2007angiosperms"/>
    <w:p>
      <w:pPr>
        <w:pStyle w:val="Bibliography"/>
      </w:pPr>
      <w:r>
        <w:t xml:space="preserve">Foden, J., Brazier, D., 2007. Angiosperms (seagrass) within the EU water framework directive: A UK perspective. Marine Pollution Bulletin 55, 181–195.</w:t>
      </w:r>
    </w:p>
    <w:bookmarkEnd w:id="157"/>
    <w:bookmarkStart w:id="158" w:name="ref-fyfe2003spatial"/>
    <w:p>
      <w:pPr>
        <w:pStyle w:val="Bibliography"/>
      </w:pPr>
      <w:r>
        <w:t xml:space="preserve">Fyfe, S., 2003. Spatial and temporal variation in spectral reflectance: Are seagrass species spectrally distinct? Limnology and Oceanography 48, 464–479.</w:t>
      </w:r>
    </w:p>
    <w:bookmarkEnd w:id="158"/>
    <w:bookmarkStart w:id="159" w:name="ref-gardner2018"/>
    <w:p>
      <w:pPr>
        <w:pStyle w:val="Bibliography"/>
      </w:pPr>
      <w:r>
        <w:t xml:space="preserve">Gardner, R.C., Finlayson, C., 2018. Global wetland outlook: State of the world’s wetlands and their services to people. Stetson Law.</w:t>
      </w:r>
    </w:p>
    <w:bookmarkEnd w:id="159"/>
    <w:bookmarkStart w:id="160" w:name="ref-haro2023biointertidal"/>
    <w:p>
      <w:pPr>
        <w:pStyle w:val="Bibliography"/>
      </w:pPr>
      <w:r>
        <w:t xml:space="preserve">Haro, S., Jimenez-Reina, J., Bermejo, R., Morrison, L., 2023. BioIntertidal mapper software: A satellite approach for NDVI-based intertidal habitat mapping. SoftwareX 24, 101520.</w:t>
      </w:r>
    </w:p>
    <w:bookmarkEnd w:id="160"/>
    <w:bookmarkStart w:id="16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61"/>
    <w:bookmarkStart w:id="16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2"/>
    <w:bookmarkStart w:id="163" w:name="ref-howard2018fastai"/>
    <w:p>
      <w:pPr>
        <w:pStyle w:val="Bibliography"/>
      </w:pPr>
      <w:r>
        <w:t xml:space="preserve">Howard, J., others, 2018. Fastai.</w:t>
      </w:r>
    </w:p>
    <w:bookmarkEnd w:id="163"/>
    <w:bookmarkStart w:id="16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4"/>
    <w:bookmarkStart w:id="165" w:name="ref-joyce2023"/>
    <w:p>
      <w:pPr>
        <w:pStyle w:val="Bibliography"/>
      </w:pPr>
      <w:r>
        <w:t xml:space="preserve">Joyce, K.E., Fickas, K.C., Kalamandeen, M., 2023. The unique value proposition for using drones to map coastal ecosystems. Cambridge Prisms: Coastal Futures 1, e6.</w:t>
      </w:r>
    </w:p>
    <w:bookmarkEnd w:id="165"/>
    <w:bookmarkStart w:id="166" w:name="ref-kirk1994light"/>
    <w:p>
      <w:pPr>
        <w:pStyle w:val="Bibliography"/>
      </w:pPr>
      <w:r>
        <w:t xml:space="preserve">Kirk, J.T., 1994. Light and photosynthesis in aquatic ecosystems. Cambridge university press.</w:t>
      </w:r>
    </w:p>
    <w:bookmarkEnd w:id="166"/>
    <w:bookmarkStart w:id="167" w:name="ref-klemas2012remote"/>
    <w:p>
      <w:pPr>
        <w:pStyle w:val="Bibliography"/>
      </w:pPr>
      <w:r>
        <w:t xml:space="preserve">Klemas, V., 2012. Remote sensing of algal blooms: An overview with case studies. Journal of coastal research 28, 34–43.</w:t>
      </w:r>
    </w:p>
    <w:bookmarkEnd w:id="167"/>
    <w:bookmarkStart w:id="16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8"/>
    <w:bookmarkStart w:id="16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9"/>
    <w:bookmarkStart w:id="17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70"/>
    <w:bookmarkStart w:id="171" w:name="ref-louime2017sargassum"/>
    <w:p>
      <w:pPr>
        <w:pStyle w:val="Bibliography"/>
      </w:pPr>
      <w:r>
        <w:t xml:space="preserve">Louime, C., Fortune, J., Gervais, G., 2017. Sargassum invasion of coastal environments: A growing concern. American Journal of Environmental Sciences 13, 58–64.</w:t>
      </w:r>
    </w:p>
    <w:bookmarkEnd w:id="171"/>
    <w:bookmarkStart w:id="17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2"/>
    <w:bookmarkStart w:id="17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3"/>
    <w:bookmarkStart w:id="17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4">
        <w:r>
          <w:rPr>
            <w:rStyle w:val="Hyperlink"/>
          </w:rPr>
          <w:t xml:space="preserve">https://doi.org/10.1111/GCB.14108</w:t>
        </w:r>
      </w:hyperlink>
    </w:p>
    <w:bookmarkEnd w:id="175"/>
    <w:bookmarkStart w:id="17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6"/>
    <w:bookmarkStart w:id="17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7"/>
    <w:bookmarkStart w:id="178" w:name="ref-nguyen2021"/>
    <w:p>
      <w:pPr>
        <w:pStyle w:val="Bibliography"/>
      </w:pPr>
      <w:r>
        <w:t xml:space="preserve">Nguyen, H.M., Ralph, P.J., Marı́n-Guirao, L., Pernice, M., Procaccini, G., 2021. Seagrasses in an era of ocean warming: A review. Biological Reviews 96, 2009–2030.</w:t>
      </w:r>
    </w:p>
    <w:bookmarkEnd w:id="178"/>
    <w:bookmarkStart w:id="17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9"/>
    <w:bookmarkStart w:id="18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0"/>
    <w:bookmarkStart w:id="181" w:name="ref-oh2017use"/>
    <w:p>
      <w:pPr>
        <w:pStyle w:val="Bibliography"/>
      </w:pPr>
      <w:r>
        <w:t xml:space="preserve">Oh, J., Kim, D., Lee, H., 2017. Use of a drone for mapping and time series image acquisition of tidal zones. Journal of the Korean Institute of Intelligent Systems 27, 119–125.</w:t>
      </w:r>
    </w:p>
    <w:bookmarkEnd w:id="181"/>
    <w:bookmarkStart w:id="182" w:name="ref-oiry2021using"/>
    <w:p>
      <w:pPr>
        <w:pStyle w:val="Bibliography"/>
      </w:pPr>
      <w:r>
        <w:t xml:space="preserve">Oiry, S., Barillé, L., 2021. Using sentinel-2 satellite imagery to develop microphytobenthos-based water quality indices in estuaries. Ecological Indicators 121, 107184.</w:t>
      </w:r>
    </w:p>
    <w:bookmarkEnd w:id="182"/>
    <w:bookmarkStart w:id="18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3"/>
    <w:bookmarkStart w:id="18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4"/>
    <w:bookmarkStart w:id="185" w:name="ref-Pereira2013"/>
    <w:p>
      <w:pPr>
        <w:pStyle w:val="Bibliography"/>
      </w:pPr>
      <w:r>
        <w:t xml:space="preserve">Pereira, H.M., Ferrier, S., Walters, M., Geller, G.N., Jongman, R.H., Scholes, R.J., Bruford, M.W., Brummitt, N., Butchart, S.H., Cardoso, A., others, 2013. Essential biodiversity variables. Science 339, 277–278.</w:t>
      </w:r>
    </w:p>
    <w:bookmarkEnd w:id="185"/>
    <w:bookmarkStart w:id="18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6"/>
    <w:bookmarkStart w:id="18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7"/>
    <w:bookmarkStart w:id="188" w:name="ref-rasheed2011long"/>
    <w:p>
      <w:pPr>
        <w:pStyle w:val="Bibliography"/>
      </w:pPr>
      <w:r>
        <w:t xml:space="preserve">Rasheed, M.A., Unsworth, R.K., 2011. Long-term climate-associated dynamics of a tropical seagrass meadow: Implications for the future. Marine Ecology Progress Series 422, 93–103.</w:t>
      </w:r>
    </w:p>
    <w:bookmarkEnd w:id="188"/>
    <w:bookmarkStart w:id="18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9"/>
    <w:bookmarkStart w:id="19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90"/>
    <w:bookmarkStart w:id="19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1">
        <w:r>
          <w:rPr>
            <w:rStyle w:val="Hyperlink"/>
          </w:rPr>
          <w:t xml:space="preserve">https://doi.org/10.3389/fmars.2022.1004012</w:t>
        </w:r>
      </w:hyperlink>
    </w:p>
    <w:bookmarkEnd w:id="192"/>
    <w:bookmarkStart w:id="193" w:name="ref-Roman2021"/>
    <w:p>
      <w:pPr>
        <w:pStyle w:val="Bibliography"/>
      </w:pPr>
      <w:r>
        <w:t xml:space="preserve">Román, A., Tovar-Sánchez, A., Olivé, I., Navarro, G., 2021. Using a UAV-mounted multispectral camera for the monitoring of marine macrophytes. Frontiers in Marine Science 1225.</w:t>
      </w:r>
    </w:p>
    <w:bookmarkEnd w:id="193"/>
    <w:bookmarkStart w:id="194" w:name="ref-rossiter2020uav"/>
    <w:p>
      <w:pPr>
        <w:pStyle w:val="Bibliography"/>
      </w:pPr>
      <w:r>
        <w:t xml:space="preserve">Rossiter, T., Furey, T., McCarthy, T., Stengel, D.B., 2020. UAV-mounted hyperspectral mapping of intertidal macroalgae. Estuarine, Coastal and Shelf Science 242, 106789.</w:t>
      </w:r>
    </w:p>
    <w:bookmarkEnd w:id="194"/>
    <w:bookmarkStart w:id="19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5">
        <w:r>
          <w:rPr>
            <w:rStyle w:val="Hyperlink"/>
          </w:rPr>
          <w:t xml:space="preserve">https://doi.org/10.1016/j.ecoser.2022.101414</w:t>
        </w:r>
      </w:hyperlink>
    </w:p>
    <w:bookmarkEnd w:id="196"/>
    <w:bookmarkStart w:id="197" w:name="ref-schneider2012nih"/>
    <w:p>
      <w:pPr>
        <w:pStyle w:val="Bibliography"/>
      </w:pPr>
      <w:r>
        <w:t xml:space="preserve">Schneider, C.A., Rasband, W.S., Eliceiri, K.W., 2012. NIH image to ImageJ: 25 years of image analysis. Nature methods 9, 671–675.</w:t>
      </w:r>
    </w:p>
    <w:bookmarkEnd w:id="197"/>
    <w:bookmarkStart w:id="19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8">
        <w:r>
          <w:rPr>
            <w:rStyle w:val="Hyperlink"/>
          </w:rPr>
          <w:t xml:space="preserve">https://doi.org/10.3390/rs13081408</w:t>
        </w:r>
      </w:hyperlink>
    </w:p>
    <w:bookmarkEnd w:id="199"/>
    <w:bookmarkStart w:id="201" w:name="ref-Slaton2001"/>
    <w:p>
      <w:pPr>
        <w:pStyle w:val="Bibliography"/>
      </w:pPr>
      <w:r>
        <w:t xml:space="preserve">Slaton, M.R., Raymond Hunt Jr., E., Smith, W.K., 2001. Estimating near-infrared leaf reflectance from leaf structural characteristics. American Journal of Botany 88, 278–284. https://doi.org/</w:t>
      </w:r>
      <w:hyperlink r:id="rId200">
        <w:r>
          <w:rPr>
            <w:rStyle w:val="Hyperlink"/>
          </w:rPr>
          <w:t xml:space="preserve">https://doi.org/10.2307/2657019</w:t>
        </w:r>
      </w:hyperlink>
    </w:p>
    <w:bookmarkEnd w:id="201"/>
    <w:bookmarkStart w:id="20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2"/>
    <w:bookmarkStart w:id="20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3"/>
    <w:bookmarkStart w:id="20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4"/>
    <w:bookmarkStart w:id="20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5"/>
    <w:bookmarkStart w:id="20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6"/>
    <w:bookmarkStart w:id="208" w:name="ref-Traganos2018"/>
    <w:p>
      <w:pPr>
        <w:pStyle w:val="Bibliography"/>
      </w:pPr>
      <w:r>
        <w:t xml:space="preserve">Traganos, D., Reinartz, P., 2018. Mapping mediterranean seagrasses with sentinel-2 imagery. Marine Pollution Bulletin 134, 197–209.</w:t>
      </w:r>
      <w:r>
        <w:t xml:space="preserve"> </w:t>
      </w:r>
      <w:hyperlink r:id="rId207">
        <w:r>
          <w:rPr>
            <w:rStyle w:val="Hyperlink"/>
          </w:rPr>
          <w:t xml:space="preserve">https://doi.org/10.1016/j.marpolbul.2017.06.075</w:t>
        </w:r>
      </w:hyperlink>
    </w:p>
    <w:bookmarkEnd w:id="208"/>
    <w:bookmarkStart w:id="20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9"/>
    <w:bookmarkStart w:id="210" w:name="ref-unsworth2022"/>
    <w:p>
      <w:pPr>
        <w:pStyle w:val="Bibliography"/>
      </w:pPr>
      <w:r>
        <w:t xml:space="preserve">Unsworth, R.K., Cullen-Unsworth, L.C., Jones, B.L., Lilley, R.J., 2022. The planetary role of seagrass conservation. Science 377, 609–613.</w:t>
      </w:r>
    </w:p>
    <w:bookmarkEnd w:id="210"/>
    <w:bookmarkStart w:id="21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11"/>
    <w:bookmarkStart w:id="21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2"/>
    <w:bookmarkStart w:id="21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3"/>
    <w:bookmarkStart w:id="214" w:name="ref-wang2022"/>
    <w:p>
      <w:pPr>
        <w:pStyle w:val="Bibliography"/>
      </w:pPr>
      <w:r>
        <w:t xml:space="preserve">Wang, Z., Fang, Z., Liang, J., Song, X., 2022. Assessment of global habitat suitability and risk of ocean green tides. Harmful Algae 119, 102324.</w:t>
      </w:r>
    </w:p>
    <w:bookmarkEnd w:id="214"/>
    <w:bookmarkStart w:id="216" w:name="ref-WEI2015399"/>
    <w:p>
      <w:pPr>
        <w:pStyle w:val="Bibliography"/>
      </w:pPr>
      <w:r>
        <w:t xml:space="preserve">Wei, P., Lu, Z., Song, J., 2015. Variable importance analysis: A comprehensive review. Reliability Engineering and System Safety 142, 399–432. https://doi.org/</w:t>
      </w:r>
      <w:hyperlink r:id="rId215">
        <w:r>
          <w:rPr>
            <w:rStyle w:val="Hyperlink"/>
          </w:rPr>
          <w:t xml:space="preserve">https://doi.org/10.1016/j.ress.2015.05.018</w:t>
        </w:r>
      </w:hyperlink>
    </w:p>
    <w:bookmarkEnd w:id="216"/>
    <w:bookmarkStart w:id="21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7"/>
    <w:bookmarkStart w:id="21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8"/>
    <w:bookmarkStart w:id="22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9">
        <w:r>
          <w:rPr>
            <w:rStyle w:val="Hyperlink"/>
          </w:rPr>
          <w:t xml:space="preserve">https://doi.org/10.1016/j.ecolind.2021.108033</w:t>
        </w:r>
      </w:hyperlink>
    </w:p>
    <w:bookmarkEnd w:id="220"/>
    <w:bookmarkStart w:id="22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1">
        <w:r>
          <w:rPr>
            <w:rStyle w:val="Hyperlink"/>
          </w:rPr>
          <w:t xml:space="preserve">https://doi.org/10.1002/rse2.319</w:t>
        </w:r>
      </w:hyperlink>
    </w:p>
    <w:bookmarkEnd w:id="222"/>
    <w:bookmarkStart w:id="22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3">
        <w:r>
          <w:rPr>
            <w:rStyle w:val="Hyperlink"/>
          </w:rPr>
          <w:t xml:space="preserve">https://doi.org/10.1016/j.rse.2020.112020</w:t>
        </w:r>
      </w:hyperlink>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2024-09-27T16:01:41Z</dcterms:created>
  <dcterms:modified xsi:type="dcterms:W3CDTF">2024-09-27T16:01:41Z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2024-09-27</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